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40" w:rsidRPr="0017652F" w:rsidRDefault="001B6523" w:rsidP="001B6523">
      <w:pPr>
        <w:spacing w:line="240" w:lineRule="auto"/>
        <w:jc w:val="right"/>
        <w:rPr>
          <w:b/>
        </w:rPr>
      </w:pPr>
      <w:r w:rsidRPr="001B6523">
        <w:rPr>
          <w:rFonts w:eastAsia="Calibri"/>
          <w:sz w:val="24"/>
          <w:szCs w:val="24"/>
        </w:rPr>
        <w:t xml:space="preserve">Утверждена Приказом ПАО «РусГидро» </w:t>
      </w:r>
      <w:r w:rsidRPr="000A2A68">
        <w:rPr>
          <w:rFonts w:eastAsia="Calibri"/>
          <w:sz w:val="24"/>
          <w:szCs w:val="24"/>
        </w:rPr>
        <w:t>от 29.11.2019</w:t>
      </w:r>
      <w:r w:rsidR="00D63C37">
        <w:rPr>
          <w:rFonts w:eastAsia="Calibri"/>
          <w:sz w:val="24"/>
          <w:szCs w:val="24"/>
        </w:rPr>
        <w:t>г.</w:t>
      </w:r>
      <w:r w:rsidRPr="000A2A68">
        <w:rPr>
          <w:rFonts w:eastAsia="Calibri"/>
          <w:sz w:val="24"/>
          <w:szCs w:val="24"/>
        </w:rPr>
        <w:t xml:space="preserve"> №974</w:t>
      </w:r>
      <w:r>
        <w:rPr>
          <w:i/>
          <w:szCs w:val="26"/>
          <w:shd w:val="clear" w:color="auto" w:fill="FFFF99"/>
        </w:rPr>
        <w:t xml:space="preserve"> </w:t>
      </w:r>
    </w:p>
    <w:p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336940" w:rsidRDefault="002A5164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36940" w:rsidRDefault="002A516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A516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425"/>
        <w:gridCol w:w="6237"/>
      </w:tblGrid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:rsidTr="00B31E9C">
        <w:tc>
          <w:tcPr>
            <w:tcW w:w="3686" w:type="dxa"/>
          </w:tcPr>
          <w:p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:rsidTr="00B31E9C">
        <w:tc>
          <w:tcPr>
            <w:tcW w:w="3686" w:type="dxa"/>
          </w:tcPr>
          <w:p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 xml:space="preserve">Организации Группы </w:t>
            </w:r>
            <w:r w:rsidRPr="00CB5DBA">
              <w:rPr>
                <w:b/>
              </w:rPr>
              <w:lastRenderedPageBreak/>
              <w:t>РусГидро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lastRenderedPageBreak/>
              <w:t>–</w:t>
            </w:r>
          </w:p>
        </w:tc>
        <w:tc>
          <w:tcPr>
            <w:tcW w:w="6237" w:type="dxa"/>
          </w:tcPr>
          <w:p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</w:t>
            </w:r>
            <w:r w:rsidRPr="00CB5DBA">
              <w:lastRenderedPageBreak/>
              <w:t>осуществляет полномочия управления в соответствии 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:rsidR="00941CEC" w:rsidRPr="00941CEC" w:rsidRDefault="00941CEC" w:rsidP="00941CEC">
      <w:pPr>
        <w:pStyle w:val="2"/>
      </w:pPr>
    </w:p>
    <w:p w:rsidR="001E00BB" w:rsidRPr="00B453F3" w:rsidRDefault="00E26B3B" w:rsidP="00BA269F">
      <w:pPr>
        <w:pStyle w:val="1"/>
        <w:pageBreakBefore/>
      </w:pPr>
      <w:bookmarkStart w:id="1" w:name="_Toc25849110"/>
      <w:r>
        <w:lastRenderedPageBreak/>
        <w:t>Общие положения</w:t>
      </w:r>
      <w:bookmarkEnd w:id="1"/>
    </w:p>
    <w:p w:rsidR="000A7205" w:rsidRPr="00B12C30" w:rsidRDefault="000A7205" w:rsidP="000A7205">
      <w:pPr>
        <w:pStyle w:val="11"/>
      </w:pPr>
      <w:bookmarkStart w:id="2" w:name="_Toc25849111"/>
      <w:r w:rsidRPr="00B12C30">
        <w:t xml:space="preserve">Цели и </w:t>
      </w:r>
      <w:r w:rsidR="00741038" w:rsidRPr="00B12C30">
        <w:t>задачи методики</w:t>
      </w:r>
      <w:bookmarkEnd w:id="2"/>
    </w:p>
    <w:p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r w:rsidR="0065088F" w:rsidRPr="0065088F">
        <w:t>Методика ДРиФС</w:t>
      </w:r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3" w:name="_Toc477771401"/>
      <w:bookmarkStart w:id="4" w:name="_Toc25849112"/>
      <w:bookmarkEnd w:id="3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4"/>
    </w:p>
    <w:p w:rsidR="000A7205" w:rsidRPr="00B12C30" w:rsidRDefault="00E34958" w:rsidP="000A7205">
      <w:pPr>
        <w:pStyle w:val="11"/>
      </w:pPr>
      <w:bookmarkStart w:id="5" w:name="_Toc25849113"/>
      <w:r w:rsidRPr="00B12C30">
        <w:t>Общие положения</w:t>
      </w:r>
      <w:bookmarkEnd w:id="5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:rsidR="002D291B" w:rsidRPr="00B12C30" w:rsidRDefault="002D291B" w:rsidP="00935D6E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:rsidR="002D291B" w:rsidRPr="00B12C30" w:rsidRDefault="00E34958" w:rsidP="00C63CAC">
      <w:pPr>
        <w:pStyle w:val="11"/>
      </w:pPr>
      <w:bookmarkStart w:id="6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6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F6840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F6840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F6840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:rsidR="002D291B" w:rsidRPr="00B12C30" w:rsidRDefault="002D291B" w:rsidP="000A7205">
      <w:pPr>
        <w:pStyle w:val="11"/>
      </w:pPr>
      <w:bookmarkStart w:id="7" w:name="_Toc477771405"/>
      <w:bookmarkStart w:id="8" w:name="_Toc477771407"/>
      <w:bookmarkStart w:id="9" w:name="_Toc25849115"/>
      <w:bookmarkEnd w:id="7"/>
      <w:bookmarkEnd w:id="8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9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F6840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F6840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0" w:name="_Ref456627933"/>
      <w:bookmarkStart w:id="11" w:name="_Ref456627958"/>
      <w:bookmarkStart w:id="12" w:name="_Toc25849116"/>
      <w:r w:rsidRPr="00B11020">
        <w:lastRenderedPageBreak/>
        <w:t>Критерии отбора</w:t>
      </w:r>
      <w:bookmarkEnd w:id="10"/>
      <w:bookmarkEnd w:id="11"/>
      <w:bookmarkEnd w:id="12"/>
    </w:p>
    <w:p w:rsidR="00E34958" w:rsidRDefault="00E849AF" w:rsidP="00E34958">
      <w:pPr>
        <w:pStyle w:val="111"/>
        <w:keepNext/>
      </w:pPr>
      <w:bookmarkStart w:id="13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3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70119A" w:rsidRDefault="001679EF" w:rsidP="006874A5">
      <w:pPr>
        <w:pStyle w:val="a"/>
        <w:numPr>
          <w:ilvl w:val="3"/>
          <w:numId w:val="4"/>
        </w:numPr>
      </w:pPr>
      <w:r w:rsidRPr="009307F1">
        <w:lastRenderedPageBreak/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4" w:name="_Ref515979979"/>
      <w:r>
        <w:t>д</w:t>
      </w:r>
      <w:r w:rsidR="00C21357" w:rsidRPr="001E6EEE">
        <w:t>окументы, входящие в заявку, не должны содержать недостоверные 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4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fldSimple w:instr=" REF _Ref456628031 \r \h  \* MERGEFORMAT ">
        <w:r w:rsidR="002F6840">
          <w:t>2.6</w:t>
        </w:r>
      </w:fldSimple>
      <w:r w:rsidR="008F13AB" w:rsidRPr="008E7774">
        <w:t xml:space="preserve"> настоящей методики</w:t>
      </w:r>
      <w:r w:rsidRPr="008E7774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F6840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25849117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F6840">
          <w:t>2.4.1</w:t>
        </w:r>
      </w:fldSimple>
      <w:fldSimple w:instr=" REF _Ref456628115 \n \h  \* MERGEFORMAT ">
        <w:r w:rsidR="002F6840">
          <w:t>(з)</w:t>
        </w:r>
      </w:fldSimple>
      <w:r w:rsidR="008F13AB">
        <w:t xml:space="preserve"> настоящей методики</w:t>
      </w:r>
      <w:r w:rsidR="00C96E2F" w:rsidRPr="00B11020">
        <w:t>:</w:t>
      </w:r>
      <w:bookmarkEnd w:id="20"/>
    </w:p>
    <w:p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lastRenderedPageBreak/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>равна или 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F6840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25849118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</w:t>
      </w:r>
      <w:r w:rsidR="00FA71DC">
        <w:lastRenderedPageBreak/>
        <w:t>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27"/>
    </w:p>
    <w:p w:rsidR="00AE1E95" w:rsidRPr="000E3801" w:rsidRDefault="00AE1E95" w:rsidP="001E485A">
      <w:pPr>
        <w:pStyle w:val="a"/>
        <w:numPr>
          <w:ilvl w:val="3"/>
          <w:numId w:val="9"/>
        </w:numPr>
      </w:pPr>
      <w:bookmarkStart w:id="28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28"/>
    </w:p>
    <w:p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:rsidR="008762B7" w:rsidRPr="000E3801" w:rsidRDefault="008762B7" w:rsidP="001E485A">
      <w:pPr>
        <w:pStyle w:val="a"/>
        <w:numPr>
          <w:ilvl w:val="3"/>
          <w:numId w:val="9"/>
        </w:numPr>
      </w:pPr>
      <w:bookmarkStart w:id="29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29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30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0"/>
    </w:p>
    <w:p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2A5164">
        <w:fldChar w:fldCharType="begin"/>
      </w:r>
      <w:r w:rsidR="00A20406">
        <w:instrText xml:space="preserve"> REF _Ref471907991 \r \h </w:instrText>
      </w:r>
      <w:r w:rsidR="002A5164">
        <w:fldChar w:fldCharType="separate"/>
      </w:r>
      <w:r w:rsidR="002F6840">
        <w:t>2.6.1</w:t>
      </w:r>
      <w:r w:rsidR="002A5164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</w:t>
      </w:r>
      <w:r>
        <w:lastRenderedPageBreak/>
        <w:t xml:space="preserve">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2A5164">
        <w:fldChar w:fldCharType="begin"/>
      </w:r>
      <w:r w:rsidR="00A20406">
        <w:instrText xml:space="preserve"> REF _Ref471907991 \r \h </w:instrText>
      </w:r>
      <w:r w:rsidR="002A5164">
        <w:fldChar w:fldCharType="separate"/>
      </w:r>
      <w:r w:rsidR="002F6840">
        <w:t>2.6.1</w:t>
      </w:r>
      <w:r w:rsidR="002A5164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F2520A">
      <w:pPr>
        <w:pStyle w:val="a"/>
        <w:numPr>
          <w:ilvl w:val="3"/>
          <w:numId w:val="11"/>
        </w:numPr>
      </w:pPr>
      <w:bookmarkStart w:id="31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2A5164">
        <w:fldChar w:fldCharType="begin"/>
      </w:r>
      <w:r w:rsidR="00A20406">
        <w:instrText xml:space="preserve"> REF _Ref471907991 \r \h </w:instrText>
      </w:r>
      <w:r w:rsidR="002A5164">
        <w:fldChar w:fldCharType="separate"/>
      </w:r>
      <w:r w:rsidR="002F6840">
        <w:t>2.6.1</w:t>
      </w:r>
      <w:r w:rsidR="002A5164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1"/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2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2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A5164">
        <w:fldChar w:fldCharType="begin"/>
      </w:r>
      <w:r w:rsidR="00F04A4A">
        <w:instrText xml:space="preserve"> REF _Ref471818978 \r \h </w:instrText>
      </w:r>
      <w:r w:rsidR="002A5164">
        <w:fldChar w:fldCharType="separate"/>
      </w:r>
      <w:r w:rsidR="002F6840">
        <w:t>2.7</w:t>
      </w:r>
      <w:r w:rsidR="002A516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F6840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F6840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F6840">
          <w:t>2.9.3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F6840">
          <w:t>2.10.2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lastRenderedPageBreak/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F6840">
          <w:t>2.11.2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A5164">
        <w:fldChar w:fldCharType="begin"/>
      </w:r>
      <w:r w:rsidR="00AF5F29">
        <w:instrText xml:space="preserve"> REF _Ref466276214 \r \h </w:instrText>
      </w:r>
      <w:r w:rsidR="002A5164">
        <w:fldChar w:fldCharType="separate"/>
      </w:r>
      <w:r w:rsidR="002F6840">
        <w:t>2.13</w:t>
      </w:r>
      <w:r w:rsidR="002A516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F6840">
          <w:t>2.13.2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3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3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F6840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F6840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B33746" w:rsidRDefault="00B33746" w:rsidP="00B33746">
      <w:pPr>
        <w:pStyle w:val="111"/>
      </w:pPr>
      <w:bookmarkStart w:id="34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:rsidR="00A1147D" w:rsidRDefault="009E0782" w:rsidP="009E0782">
      <w:pPr>
        <w:pStyle w:val="111"/>
        <w:keepNext/>
      </w:pPr>
      <w:bookmarkStart w:id="35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4"/>
      <w:bookmarkEnd w:id="35"/>
    </w:p>
    <w:p w:rsidR="00A1147D" w:rsidRDefault="00A1147D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</w:t>
      </w:r>
      <w:r w:rsidR="002A5164">
        <w:rPr>
          <w:noProof/>
        </w:rPr>
        <w:fldChar w:fldCharType="end"/>
      </w:r>
    </w:p>
    <w:p w:rsidR="00A1147D" w:rsidRPr="00723E9B" w:rsidRDefault="002A516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:rsidR="00A1147D" w:rsidRDefault="00A1147D" w:rsidP="00AA3D6C">
      <w:pPr>
        <w:jc w:val="right"/>
      </w:pPr>
      <w:r>
        <w:t xml:space="preserve">Таблица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</w:t>
      </w:r>
      <w:r w:rsidR="002A5164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lastRenderedPageBreak/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A516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A5164">
              <w:rPr>
                <w:b/>
                <w:sz w:val="18"/>
                <w:szCs w:val="18"/>
                <w:lang w:eastAsia="ru-RU"/>
              </w:rPr>
            </w:r>
            <w:r w:rsidR="002A516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F6840">
              <w:rPr>
                <w:b/>
                <w:sz w:val="18"/>
                <w:szCs w:val="18"/>
                <w:lang w:eastAsia="ru-RU"/>
              </w:rPr>
              <w:t>2.6.2</w:t>
            </w:r>
            <w:r w:rsidR="002A516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bookmarkStart w:id="36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2A5164">
        <w:fldChar w:fldCharType="begin"/>
      </w:r>
      <w:r w:rsidR="00144639">
        <w:instrText xml:space="preserve"> REF _Ref4601828 \r \h </w:instrText>
      </w:r>
      <w:r w:rsidR="002A5164">
        <w:fldChar w:fldCharType="separate"/>
      </w:r>
      <w:r w:rsidR="002F6840">
        <w:t>2.6.5</w:t>
      </w:r>
      <w:r w:rsidR="002A516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6"/>
    </w:p>
    <w:p w:rsidR="009E0782" w:rsidRDefault="009E0782" w:rsidP="00AA3D6C">
      <w:pPr>
        <w:jc w:val="right"/>
      </w:pPr>
      <w:r>
        <w:t xml:space="preserve">Таблица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2</w:t>
      </w:r>
      <w:r w:rsidR="002A5164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7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A5164">
        <w:fldChar w:fldCharType="begin"/>
      </w:r>
      <w:r w:rsidR="00606C18">
        <w:instrText xml:space="preserve"> REF _Ref469654191 \r \h </w:instrText>
      </w:r>
      <w:r w:rsidR="002A5164">
        <w:fldChar w:fldCharType="separate"/>
      </w:r>
      <w:r w:rsidR="002F6840">
        <w:t>2.6.4</w:t>
      </w:r>
      <w:r w:rsidR="002A516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F6840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7"/>
    </w:p>
    <w:p w:rsidR="00023C77" w:rsidRDefault="00023C77" w:rsidP="00AA3D6C">
      <w:pPr>
        <w:jc w:val="right"/>
      </w:pPr>
      <w:r>
        <w:t xml:space="preserve">Таблица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3</w:t>
      </w:r>
      <w:r w:rsidR="002A5164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8" w:name="_Ref45662777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9" w:name="_Ref471818978"/>
      <w:bookmarkStart w:id="40" w:name="_Toc25849119"/>
      <w:r>
        <w:lastRenderedPageBreak/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8"/>
      <w:bookmarkEnd w:id="39"/>
      <w:bookmarkEnd w:id="40"/>
    </w:p>
    <w:p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bookmarkStart w:id="41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1"/>
    </w:p>
    <w:p w:rsidR="00513524" w:rsidRDefault="00513524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2</w:t>
      </w:r>
      <w:r w:rsidR="002A5164">
        <w:rPr>
          <w:noProof/>
        </w:rPr>
        <w:fldChar w:fldCharType="end"/>
      </w:r>
    </w:p>
    <w:p w:rsidR="000A7205" w:rsidRPr="0028601D" w:rsidRDefault="002A516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6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 w:rsidR="002A5164">
        <w:fldChar w:fldCharType="begin"/>
      </w:r>
      <w:r>
        <w:instrText xml:space="preserve"> REF _Ref5112577 \r \h </w:instrText>
      </w:r>
      <w:r w:rsidR="002A5164">
        <w:fldChar w:fldCharType="separate"/>
      </w:r>
      <w:r w:rsidR="002F6840">
        <w:t>2.7.2</w:t>
      </w:r>
      <w:r w:rsidR="002A5164"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:rsidR="000A7205" w:rsidRDefault="00513524" w:rsidP="00513524">
      <w:pPr>
        <w:pStyle w:val="11"/>
      </w:pPr>
      <w:bookmarkStart w:id="42" w:name="_Ref456627779"/>
      <w:bookmarkStart w:id="43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2"/>
      <w:bookmarkEnd w:id="43"/>
    </w:p>
    <w:p w:rsidR="00511AAB" w:rsidRDefault="000A7205" w:rsidP="00513524">
      <w:pPr>
        <w:pStyle w:val="111"/>
      </w:pPr>
      <w:bookmarkStart w:id="44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44"/>
    </w:p>
    <w:p w:rsidR="00513524" w:rsidRDefault="00513524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3</w:t>
      </w:r>
      <w:r w:rsidR="002A5164">
        <w:rPr>
          <w:noProof/>
        </w:rPr>
        <w:fldChar w:fldCharType="end"/>
      </w:r>
    </w:p>
    <w:p w:rsidR="00723E9B" w:rsidRPr="00CE72E9" w:rsidRDefault="002A516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9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2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 w:rsidR="002A5164">
        <w:fldChar w:fldCharType="begin"/>
      </w:r>
      <w:r>
        <w:instrText xml:space="preserve"> REF _Ref5112926 \r \h </w:instrText>
      </w:r>
      <w:r w:rsidR="002A5164">
        <w:fldChar w:fldCharType="separate"/>
      </w:r>
      <w:r w:rsidR="002F6840">
        <w:t>2.8.1</w:t>
      </w:r>
      <w:r w:rsidR="002A5164"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:rsidR="000A7205" w:rsidRDefault="00513524" w:rsidP="00513524">
      <w:pPr>
        <w:pStyle w:val="11"/>
      </w:pPr>
      <w:bookmarkStart w:id="45" w:name="_Ref456627785"/>
      <w:bookmarkStart w:id="46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45"/>
      <w:bookmarkEnd w:id="46"/>
    </w:p>
    <w:p w:rsidR="00A95856" w:rsidRDefault="000A7205" w:rsidP="00513524">
      <w:pPr>
        <w:pStyle w:val="111"/>
      </w:pPr>
      <w:bookmarkStart w:id="47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47"/>
    </w:p>
    <w:p w:rsidR="00A95856" w:rsidRDefault="00A95856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4</w:t>
      </w:r>
      <w:r w:rsidR="002A5164">
        <w:rPr>
          <w:noProof/>
        </w:rPr>
        <w:fldChar w:fldCharType="end"/>
      </w:r>
    </w:p>
    <w:p w:rsidR="00A95856" w:rsidRPr="00723E9B" w:rsidRDefault="002A516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:rsidR="000C4E70" w:rsidRPr="000E3801" w:rsidRDefault="000C4E70" w:rsidP="00AA3D6C">
      <w:pPr>
        <w:jc w:val="right"/>
      </w:pPr>
      <w:r w:rsidRPr="000E3801"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5</w:t>
      </w:r>
      <w:r w:rsidR="002A5164">
        <w:rPr>
          <w:noProof/>
        </w:rPr>
        <w:fldChar w:fldCharType="end"/>
      </w:r>
    </w:p>
    <w:p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</m:oMath>
    </w:p>
    <w:p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 w:rsidR="002A5164">
        <w:fldChar w:fldCharType="begin"/>
      </w:r>
      <w:r>
        <w:instrText xml:space="preserve"> REF _Ref5113738 \r \h </w:instrText>
      </w:r>
      <w:r w:rsidR="002A5164">
        <w:fldChar w:fldCharType="separate"/>
      </w:r>
      <w:r w:rsidR="002F6840">
        <w:t>2.9.1</w:t>
      </w:r>
      <w:r w:rsidR="002A5164"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48" w:name="_Ref456627798"/>
    </w:p>
    <w:p w:rsidR="001B4B32" w:rsidRPr="000E3801" w:rsidRDefault="001B4B32" w:rsidP="001B4B32">
      <w:pPr>
        <w:pStyle w:val="11"/>
      </w:pPr>
      <w:bookmarkStart w:id="49" w:name="_Toc25849122"/>
      <w:r w:rsidRPr="000E3801">
        <w:t>Порядок расчета периода оборота дебиторской задолженности</w:t>
      </w:r>
      <w:bookmarkEnd w:id="48"/>
      <w:bookmarkEnd w:id="49"/>
    </w:p>
    <w:p w:rsidR="001B4B32" w:rsidRDefault="001B4B32" w:rsidP="001B4B32">
      <w:pPr>
        <w:pStyle w:val="111"/>
      </w:pPr>
      <w:bookmarkStart w:id="50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0"/>
    </w:p>
    <w:p w:rsidR="00E538D7" w:rsidRDefault="00E538D7" w:rsidP="00AA3D6C">
      <w:pPr>
        <w:jc w:val="right"/>
      </w:pPr>
    </w:p>
    <w:p w:rsidR="001B4B32" w:rsidRDefault="001B4B32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6</w:t>
      </w:r>
      <w:r w:rsidR="002A5164">
        <w:rPr>
          <w:noProof/>
        </w:rPr>
        <w:fldChar w:fldCharType="end"/>
      </w:r>
    </w:p>
    <w:p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9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0"/>
            </m:r>
          </m:den>
        </m:f>
      </m:oMath>
    </w:p>
    <w:p w:rsidR="00491A73" w:rsidRDefault="00F75F1D" w:rsidP="00CE72E9">
      <w:pPr>
        <w:pStyle w:val="111"/>
      </w:pPr>
      <w:bookmarkStart w:id="51" w:name="_Ref456627805"/>
      <w:r>
        <w:lastRenderedPageBreak/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 w:rsidR="002A5164">
        <w:fldChar w:fldCharType="begin"/>
      </w:r>
      <w:r>
        <w:instrText xml:space="preserve"> REF _Ref5115349 \r \h </w:instrText>
      </w:r>
      <w:r w:rsidR="002A5164">
        <w:fldChar w:fldCharType="separate"/>
      </w:r>
      <w:r w:rsidR="002F6840">
        <w:t>2.10.1</w:t>
      </w:r>
      <w:r w:rsidR="002A5164"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:rsidR="000A7205" w:rsidRDefault="009E0782" w:rsidP="000C4E70">
      <w:pPr>
        <w:pStyle w:val="11"/>
      </w:pPr>
      <w:bookmarkStart w:id="52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1"/>
      <w:bookmarkEnd w:id="52"/>
    </w:p>
    <w:p w:rsidR="000A7205" w:rsidRDefault="000A7205" w:rsidP="000C4E70">
      <w:pPr>
        <w:pStyle w:val="111"/>
      </w:pPr>
      <w:bookmarkStart w:id="53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3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7</w:t>
      </w:r>
      <w:r w:rsidR="002A5164">
        <w:rPr>
          <w:noProof/>
        </w:rPr>
        <w:fldChar w:fldCharType="end"/>
      </w:r>
    </w:p>
    <w:p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</m:den>
        </m:f>
      </m:oMath>
    </w:p>
    <w:p w:rsidR="00DD70C8" w:rsidRDefault="00F75F1D" w:rsidP="00CE72E9">
      <w:pPr>
        <w:pStyle w:val="111"/>
      </w:pPr>
      <w:bookmarkStart w:id="54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 w:rsidR="002A5164">
        <w:fldChar w:fldCharType="begin"/>
      </w:r>
      <w:r>
        <w:instrText xml:space="preserve"> REF _Ref5115489 \r \h </w:instrText>
      </w:r>
      <w:r w:rsidR="002A5164">
        <w:fldChar w:fldCharType="separate"/>
      </w:r>
      <w:r w:rsidR="002F6840">
        <w:t>2.11.1</w:t>
      </w:r>
      <w:r w:rsidR="002A5164"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:rsidR="000A7205" w:rsidRDefault="009E0782" w:rsidP="000C4E70">
      <w:pPr>
        <w:pStyle w:val="11"/>
      </w:pPr>
      <w:bookmarkStart w:id="55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54"/>
      <w:bookmarkEnd w:id="55"/>
    </w:p>
    <w:p w:rsidR="000A7205" w:rsidRDefault="000C4E70" w:rsidP="000C4E70">
      <w:pPr>
        <w:pStyle w:val="111"/>
      </w:pPr>
      <w:bookmarkStart w:id="56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56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8</w:t>
      </w:r>
      <w:r w:rsidR="002A5164">
        <w:rPr>
          <w:noProof/>
        </w:rPr>
        <w:fldChar w:fldCharType="end"/>
      </w:r>
    </w:p>
    <w:p w:rsidR="007C4AC9" w:rsidRPr="00723E9B" w:rsidRDefault="002A516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3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57" w:name="_Ref456627819"/>
      <w:r>
        <w:t>где:</w:t>
      </w:r>
    </w:p>
    <w:p w:rsidR="00E31360" w:rsidRDefault="00E3136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9</w:t>
      </w:r>
      <w:r w:rsidR="002A5164">
        <w:rPr>
          <w:noProof/>
        </w:rPr>
        <w:fldChar w:fldCharType="end"/>
      </w:r>
    </w:p>
    <w:p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4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</m:oMath>
    </w:p>
    <w:p w:rsidR="00DD70C8" w:rsidRPr="00F75F1D" w:rsidRDefault="00F75F1D" w:rsidP="00F75F1D">
      <w:pPr>
        <w:pStyle w:val="111"/>
        <w:rPr>
          <w:szCs w:val="26"/>
        </w:rPr>
      </w:pPr>
      <w:r>
        <w:lastRenderedPageBreak/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 w:rsidR="002A5164">
        <w:fldChar w:fldCharType="begin"/>
      </w:r>
      <w:r>
        <w:instrText xml:space="preserve"> REF _Ref5115688 \r \h </w:instrText>
      </w:r>
      <w:r w:rsidR="002A5164">
        <w:fldChar w:fldCharType="separate"/>
      </w:r>
      <w:r w:rsidR="002F6840">
        <w:t>2.12.1</w:t>
      </w:r>
      <w:r w:rsidR="002A5164"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:rsidR="000A7205" w:rsidRDefault="009E0782" w:rsidP="00511AAB">
      <w:pPr>
        <w:pStyle w:val="11"/>
      </w:pPr>
      <w:bookmarkStart w:id="58" w:name="_Ref466276214"/>
      <w:bookmarkStart w:id="59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57"/>
      <w:bookmarkEnd w:id="58"/>
      <w:bookmarkEnd w:id="59"/>
    </w:p>
    <w:p w:rsidR="00511AAB" w:rsidRDefault="000C4E70" w:rsidP="000C4E70">
      <w:pPr>
        <w:pStyle w:val="111"/>
      </w:pPr>
      <w:bookmarkStart w:id="60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0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10</w:t>
      </w:r>
      <w:r w:rsidR="002A5164">
        <w:rPr>
          <w:noProof/>
        </w:rPr>
        <w:fldChar w:fldCharType="end"/>
      </w:r>
    </w:p>
    <w:p w:rsidR="007C4AC9" w:rsidRPr="008E7774" w:rsidRDefault="002A516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6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7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</m:den>
        </m:f>
      </m:oMath>
    </w:p>
    <w:p w:rsidR="00DD70C8" w:rsidRDefault="00F75F1D" w:rsidP="00CE72E9">
      <w:pPr>
        <w:pStyle w:val="111"/>
      </w:pPr>
      <w:bookmarkStart w:id="61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2A5164">
        <w:fldChar w:fldCharType="begin"/>
      </w:r>
      <w:r w:rsidR="00975986">
        <w:instrText xml:space="preserve"> REF _Ref5116244 \r \h </w:instrText>
      </w:r>
      <w:r w:rsidR="002A5164">
        <w:fldChar w:fldCharType="separate"/>
      </w:r>
      <w:r w:rsidR="002F6840">
        <w:t>2.13.1</w:t>
      </w:r>
      <w:r w:rsidR="002A5164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:rsidR="000A7205" w:rsidRDefault="009E0782" w:rsidP="000C4E70">
      <w:pPr>
        <w:pStyle w:val="11"/>
      </w:pPr>
      <w:bookmarkStart w:id="62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1"/>
      <w:bookmarkEnd w:id="62"/>
    </w:p>
    <w:p w:rsidR="000A7205" w:rsidRDefault="000A7205" w:rsidP="008E7774">
      <w:pPr>
        <w:pStyle w:val="111"/>
      </w:pPr>
      <w:bookmarkStart w:id="63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3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11</w:t>
      </w:r>
      <w:r w:rsidR="002A5164">
        <w:rPr>
          <w:noProof/>
        </w:rPr>
        <w:fldChar w:fldCharType="end"/>
      </w:r>
    </w:p>
    <w:p w:rsidR="007C4AC9" w:rsidRPr="00CE72E9" w:rsidRDefault="002A516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9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 w:rsidR="002A5164">
        <w:fldChar w:fldCharType="begin"/>
      </w:r>
      <w:r>
        <w:instrText xml:space="preserve"> REF _Ref5116381 \r \h </w:instrText>
      </w:r>
      <w:r w:rsidR="002A5164">
        <w:fldChar w:fldCharType="separate"/>
      </w:r>
      <w:r w:rsidR="002F6840">
        <w:t>2.14.1</w:t>
      </w:r>
      <w:r w:rsidR="002A5164"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:rsidR="000C4E70" w:rsidRDefault="009E0782" w:rsidP="000C4E70">
      <w:pPr>
        <w:pStyle w:val="11"/>
      </w:pPr>
      <w:bookmarkStart w:id="64" w:name="_Ref456627836"/>
      <w:bookmarkStart w:id="65" w:name="_Toc25849127"/>
      <w:r>
        <w:lastRenderedPageBreak/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64"/>
      <w:bookmarkEnd w:id="65"/>
    </w:p>
    <w:p w:rsidR="009E0782" w:rsidRDefault="00223C36" w:rsidP="009E0782">
      <w:pPr>
        <w:pStyle w:val="111"/>
      </w:pPr>
      <w:bookmarkStart w:id="66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66"/>
    </w:p>
    <w:p w:rsidR="009E0782" w:rsidRDefault="009E0782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12</w:t>
      </w:r>
      <w:r w:rsidR="002A5164">
        <w:rPr>
          <w:noProof/>
        </w:rPr>
        <w:fldChar w:fldCharType="end"/>
      </w:r>
    </w:p>
    <w:p w:rsidR="009E0782" w:rsidRPr="008E7774" w:rsidRDefault="002A516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 w:rsidR="002A5164">
        <w:fldChar w:fldCharType="begin"/>
      </w:r>
      <w:r>
        <w:instrText xml:space="preserve"> REF _Ref5116560 \r \h </w:instrText>
      </w:r>
      <w:r w:rsidR="002A5164">
        <w:fldChar w:fldCharType="separate"/>
      </w:r>
      <w:r w:rsidR="002F6840">
        <w:t>2.15.1</w:t>
      </w:r>
      <w:r w:rsidR="002A5164"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:rsidR="009E0782" w:rsidRPr="00F649A3" w:rsidRDefault="009E0782" w:rsidP="009E0782">
      <w:pPr>
        <w:pStyle w:val="11"/>
      </w:pPr>
      <w:bookmarkStart w:id="67" w:name="_Ref456627844"/>
      <w:bookmarkStart w:id="68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67"/>
      <w:bookmarkEnd w:id="68"/>
    </w:p>
    <w:p w:rsidR="009E0782" w:rsidRPr="00F649A3" w:rsidRDefault="00223C36" w:rsidP="009E0782">
      <w:pPr>
        <w:pStyle w:val="111"/>
      </w:pPr>
      <w:bookmarkStart w:id="69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69"/>
    </w:p>
    <w:p w:rsidR="009E0782" w:rsidRPr="00F649A3" w:rsidRDefault="009E0782" w:rsidP="00AA3D6C">
      <w:pPr>
        <w:jc w:val="right"/>
      </w:pPr>
      <w:r w:rsidRPr="00F649A3">
        <w:t xml:space="preserve">Формула </w:t>
      </w:r>
      <w:r w:rsidR="002A5164" w:rsidRPr="002E7665">
        <w:fldChar w:fldCharType="begin"/>
      </w:r>
      <w:r w:rsidR="00F649A3" w:rsidRPr="00F649A3">
        <w:instrText xml:space="preserve"> SEQ Формула \* ARABIC </w:instrText>
      </w:r>
      <w:r w:rsidR="002A5164" w:rsidRPr="002E7665">
        <w:fldChar w:fldCharType="separate"/>
      </w:r>
      <w:r w:rsidR="002F6840">
        <w:rPr>
          <w:noProof/>
        </w:rPr>
        <w:t>13</w:t>
      </w:r>
      <w:r w:rsidR="002A5164" w:rsidRPr="002E7665">
        <w:rPr>
          <w:noProof/>
        </w:rPr>
        <w:fldChar w:fldCharType="end"/>
      </w:r>
    </w:p>
    <w:p w:rsidR="009E0782" w:rsidRPr="008E7774" w:rsidRDefault="002A516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2A5164">
        <w:fldChar w:fldCharType="begin"/>
      </w:r>
      <w:r w:rsidR="00390463">
        <w:instrText xml:space="preserve"> REF _Ref5116718 \r \h </w:instrText>
      </w:r>
      <w:r w:rsidR="002A5164">
        <w:fldChar w:fldCharType="separate"/>
      </w:r>
      <w:r w:rsidR="002F6840">
        <w:t>2.16.1</w:t>
      </w:r>
      <w:r w:rsidR="002A5164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:rsidR="00513524" w:rsidRDefault="00F131C0" w:rsidP="00F131C0">
      <w:pPr>
        <w:pStyle w:val="1"/>
      </w:pPr>
      <w:bookmarkStart w:id="70" w:name="_Toc469414192"/>
      <w:bookmarkStart w:id="71" w:name="_Toc469414193"/>
      <w:bookmarkStart w:id="72" w:name="_Toc469414194"/>
      <w:bookmarkStart w:id="73" w:name="_Toc469414195"/>
      <w:bookmarkStart w:id="74" w:name="_Toc469414196"/>
      <w:bookmarkStart w:id="75" w:name="_Toc469414197"/>
      <w:bookmarkStart w:id="76" w:name="_Toc25849129"/>
      <w:bookmarkEnd w:id="70"/>
      <w:bookmarkEnd w:id="71"/>
      <w:bookmarkEnd w:id="72"/>
      <w:bookmarkEnd w:id="73"/>
      <w:bookmarkEnd w:id="74"/>
      <w:bookmarkEnd w:id="75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76"/>
    </w:p>
    <w:p w:rsidR="00F131C0" w:rsidRDefault="00F131C0" w:rsidP="00F131C0">
      <w:pPr>
        <w:pStyle w:val="11"/>
      </w:pPr>
      <w:bookmarkStart w:id="77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77"/>
    </w:p>
    <w:p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A5164">
        <w:fldChar w:fldCharType="begin"/>
      </w:r>
      <w:r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A5164">
        <w:fldChar w:fldCharType="begin"/>
      </w:r>
      <w:r>
        <w:instrText xml:space="preserve"> REF _Ref456628758 \n \h </w:instrText>
      </w:r>
      <w:r w:rsidR="002A5164">
        <w:fldChar w:fldCharType="separate"/>
      </w:r>
      <w:r w:rsidR="002F6840">
        <w:t>2.5.1</w:t>
      </w:r>
      <w:r w:rsidR="002A516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 w:rsidR="002A5164">
        <w:fldChar w:fldCharType="begin"/>
      </w:r>
      <w:r>
        <w:instrText xml:space="preserve"> REF _Ref456628948 \n \h </w:instrText>
      </w:r>
      <w:r w:rsidR="002A5164">
        <w:fldChar w:fldCharType="separate"/>
      </w:r>
      <w:r w:rsidR="002F6840">
        <w:t>2.6</w:t>
      </w:r>
      <w:r w:rsidR="002A5164">
        <w:fldChar w:fldCharType="end"/>
      </w:r>
      <w:r w:rsidR="00403589">
        <w:t xml:space="preserve"> настоящей методики</w:t>
      </w:r>
      <w:r>
        <w:t>.).</w:t>
      </w:r>
    </w:p>
    <w:p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 xml:space="preserve">, согласно документу заявки «План </w:t>
      </w:r>
      <w:r w:rsidRPr="00B02CCA">
        <w:lastRenderedPageBreak/>
        <w:t>распределения объемов поставки продукции внутри Коллективного участника», либо аналогичного по смыслу документа заявки.</w:t>
      </w:r>
    </w:p>
    <w:p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A5164">
        <w:fldChar w:fldCharType="begin"/>
      </w:r>
      <w:r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:rsidR="00B03DE4" w:rsidRDefault="00F072D2" w:rsidP="00833EFC">
      <w:pPr>
        <w:pStyle w:val="1"/>
      </w:pPr>
      <w:bookmarkStart w:id="78" w:name="_Ref1398769"/>
      <w:bookmarkStart w:id="79" w:name="_Toc25849131"/>
      <w:r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78"/>
      <w:r w:rsidR="00AF5D23">
        <w:rPr>
          <w:rStyle w:val="af2"/>
        </w:rPr>
        <w:footnoteReference w:id="33"/>
      </w:r>
      <w:bookmarkEnd w:id="79"/>
    </w:p>
    <w:p w:rsidR="001209DF" w:rsidRDefault="001209DF" w:rsidP="00833EFC">
      <w:pPr>
        <w:pStyle w:val="11"/>
      </w:pPr>
      <w:bookmarkStart w:id="80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0"/>
    </w:p>
    <w:p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2A5164">
        <w:fldChar w:fldCharType="begin"/>
      </w:r>
      <w:r w:rsidR="00D75E97"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 w:rsidR="00D75E97">
        <w:t xml:space="preserve"> настоящей методики.</w:t>
      </w:r>
    </w:p>
    <w:p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2A5164">
        <w:fldChar w:fldCharType="begin"/>
      </w:r>
      <w:r w:rsidR="00D75E97">
        <w:instrText xml:space="preserve"> REF _Ref456628758 \n \h </w:instrText>
      </w:r>
      <w:r w:rsidR="002A5164">
        <w:fldChar w:fldCharType="separate"/>
      </w:r>
      <w:r w:rsidR="002F6840">
        <w:t>2.5.1</w:t>
      </w:r>
      <w:r w:rsidR="002A5164">
        <w:fldChar w:fldCharType="end"/>
      </w:r>
      <w:r w:rsidR="00D75E97">
        <w:t xml:space="preserve"> настоящей методики.</w:t>
      </w:r>
    </w:p>
    <w:p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2A5164">
        <w:fldChar w:fldCharType="begin"/>
      </w:r>
      <w:r w:rsidR="00D75E97">
        <w:instrText xml:space="preserve"> REF _Ref456628948 \n \h </w:instrText>
      </w:r>
      <w:r w:rsidR="002A5164">
        <w:fldChar w:fldCharType="separate"/>
      </w:r>
      <w:r w:rsidR="002F6840">
        <w:t>2.6</w:t>
      </w:r>
      <w:r w:rsidR="002A5164">
        <w:fldChar w:fldCharType="end"/>
      </w:r>
      <w:r w:rsidR="00D75E97">
        <w:t xml:space="preserve"> настоящей методики). </w:t>
      </w:r>
    </w:p>
    <w:p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</w:t>
      </w:r>
      <w:r w:rsidR="0058183E">
        <w:lastRenderedPageBreak/>
        <w:t xml:space="preserve">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fldSimple w:instr=" REF _Ref456628109 \n \h  \* MERGEFORMAT ">
        <w:r w:rsidR="002F6840">
          <w:t>2.4.1</w:t>
        </w:r>
      </w:fldSimple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:rsidR="001209DF" w:rsidRDefault="001209DF" w:rsidP="00833EFC">
      <w:pPr>
        <w:pStyle w:val="11"/>
      </w:pPr>
      <w:bookmarkStart w:id="81" w:name="_Toc25849133"/>
      <w:r>
        <w:t>Особенности проверки привлекаемых субподрядчиков</w:t>
      </w:r>
      <w:bookmarkEnd w:id="81"/>
    </w:p>
    <w:p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2A5164">
        <w:fldChar w:fldCharType="begin"/>
      </w:r>
      <w:r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>
        <w:t xml:space="preserve"> настоящей методики.</w:t>
      </w:r>
    </w:p>
    <w:p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2A5164">
        <w:fldChar w:fldCharType="begin"/>
      </w:r>
      <w:r w:rsidR="001209DF">
        <w:instrText xml:space="preserve"> REF _Ref456628758 \n \h </w:instrText>
      </w:r>
      <w:r w:rsidR="002A5164">
        <w:fldChar w:fldCharType="separate"/>
      </w:r>
      <w:r w:rsidR="002F6840">
        <w:t>2.5.1</w:t>
      </w:r>
      <w:r w:rsidR="002A5164">
        <w:fldChar w:fldCharType="end"/>
      </w:r>
      <w:r w:rsidR="001209DF">
        <w:t xml:space="preserve"> настоящей методики.</w:t>
      </w:r>
    </w:p>
    <w:p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fldSimple w:instr=" REF _Ref456628948 \n \h  \* MERGEFORMAT ">
        <w:r w:rsidR="002F6840">
          <w:t>2.6</w:t>
        </w:r>
      </w:fldSimple>
      <w:r w:rsidR="001209DF">
        <w:t xml:space="preserve"> настоящей методики)</w:t>
      </w:r>
      <w:r w:rsidR="00D24247">
        <w:t>.</w:t>
      </w:r>
    </w:p>
    <w:p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fldSimple w:instr=" REF _Ref456629409 \w \h  \* MERGEFORMAT ">
        <w:r w:rsidR="002F6840">
          <w:t>2.6.3</w:t>
        </w:r>
      </w:fldSimple>
      <w:fldSimple w:instr=" REF _Ref456629415 \n \h  \* MERGEFORMAT ">
        <w:r w:rsidR="002F6840">
          <w:t>(д)</w:t>
        </w:r>
      </w:fldSimple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fldSimple w:instr=" REF _Ref456629409 \w \h  \* MERGEFORMAT ">
        <w:r w:rsidR="002F6840">
          <w:t>2.6.3</w:t>
        </w:r>
      </w:fldSimple>
      <w:fldSimple w:instr=" REF _Ref456629415 \n \h  \* MERGEFORMAT ">
        <w:r w:rsidR="002F6840">
          <w:t>(д)</w:t>
        </w:r>
      </w:fldSimple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</w:t>
      </w:r>
      <w:r w:rsidR="00AF5D23" w:rsidRPr="0075718E">
        <w:lastRenderedPageBreak/>
        <w:t xml:space="preserve">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fldSimple w:instr=" REF _Ref456628109 \n \h  \* MERGEFORMAT ">
        <w:r w:rsidR="002F6840">
          <w:t>2.4.1</w:t>
        </w:r>
      </w:fldSimple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bookmarkStart w:id="82" w:name="_MON_1620498298"/>
    <w:bookmarkEnd w:id="82"/>
    <w:p w:rsidR="002E4FDF" w:rsidRPr="0034634F" w:rsidRDefault="00442C5C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2A5164"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5pt" o:ole="">
            <v:imagedata r:id="rId12" o:title=""/>
          </v:shape>
          <o:OLEObject Type="Embed" ProgID="Excel.Sheet.12" ShapeID="_x0000_i1025" DrawAspect="Icon" ObjectID="_1639287167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74" w:rsidRDefault="00CD4F74" w:rsidP="00FA2307">
      <w:pPr>
        <w:spacing w:before="0" w:line="240" w:lineRule="auto"/>
      </w:pPr>
      <w:r>
        <w:separator/>
      </w:r>
    </w:p>
  </w:endnote>
  <w:endnote w:type="continuationSeparator" w:id="0">
    <w:p w:rsidR="00CD4F74" w:rsidRDefault="00CD4F74" w:rsidP="00FA2307">
      <w:pPr>
        <w:spacing w:before="0" w:line="240" w:lineRule="auto"/>
      </w:pPr>
      <w:r>
        <w:continuationSeparator/>
      </w:r>
    </w:p>
  </w:endnote>
  <w:endnote w:type="continuationNotice" w:id="1">
    <w:p w:rsidR="00CD4F74" w:rsidRDefault="00CD4F74">
      <w:pPr>
        <w:spacing w:before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3D3FD7" w:rsidRPr="00285F7D" w:rsidRDefault="002A5164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3D3FD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C4F45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D7" w:rsidRPr="00285F7D" w:rsidRDefault="003D3FD7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74" w:rsidRDefault="00CD4F74" w:rsidP="00FA2307">
      <w:pPr>
        <w:spacing w:before="0" w:line="240" w:lineRule="auto"/>
      </w:pPr>
      <w:r>
        <w:separator/>
      </w:r>
    </w:p>
  </w:footnote>
  <w:footnote w:type="continuationSeparator" w:id="0">
    <w:p w:rsidR="00CD4F74" w:rsidRDefault="00CD4F74" w:rsidP="00FA2307">
      <w:pPr>
        <w:spacing w:before="0" w:line="240" w:lineRule="auto"/>
      </w:pPr>
      <w:r>
        <w:continuationSeparator/>
      </w:r>
    </w:p>
  </w:footnote>
  <w:footnote w:type="continuationNotice" w:id="1">
    <w:p w:rsidR="00CD4F74" w:rsidRDefault="00CD4F74">
      <w:pPr>
        <w:spacing w:before="0" w:line="240" w:lineRule="auto"/>
      </w:pPr>
    </w:p>
  </w:footnote>
  <w:footnote w:id="2">
    <w:p w:rsidR="003D3FD7" w:rsidRPr="00A2368C" w:rsidRDefault="003D3FD7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:rsidR="003D3FD7" w:rsidRPr="00F65F12" w:rsidRDefault="003D3FD7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:rsidR="003D3FD7" w:rsidRPr="00F92389" w:rsidRDefault="003D3FD7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:rsidR="003D3FD7" w:rsidRPr="005565CE" w:rsidRDefault="003D3FD7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7">
    <w:p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8">
    <w:p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9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0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1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2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3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4">
    <w:p w:rsidR="003D3FD7" w:rsidRPr="00840CB9" w:rsidRDefault="003D3FD7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5">
    <w:p w:rsidR="003D3FD7" w:rsidRPr="00840CB9" w:rsidRDefault="003D3FD7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6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7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8">
    <w:p w:rsidR="003D3FD7" w:rsidRPr="00840CB9" w:rsidRDefault="003D3FD7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9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0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1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2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4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9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0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1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2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3">
    <w:p w:rsidR="003D3FD7" w:rsidRPr="00C67910" w:rsidRDefault="003D3FD7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 w:rsidR="002A5164"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 w:rsidR="002A5164">
        <w:rPr>
          <w:rFonts w:ascii="Times New Roman" w:hAnsi="Times New Roman"/>
          <w:sz w:val="22"/>
          <w:szCs w:val="22"/>
        </w:rPr>
      </w:r>
      <w:r w:rsidR="002A5164">
        <w:rPr>
          <w:rFonts w:ascii="Times New Roman" w:hAnsi="Times New Roman"/>
          <w:sz w:val="22"/>
          <w:szCs w:val="22"/>
        </w:rPr>
        <w:fldChar w:fldCharType="separate"/>
      </w:r>
      <w:r w:rsidR="002F6840"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 w:rsidR="002A5164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D7" w:rsidRDefault="003D3FD7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:rsidR="003D3FD7" w:rsidRPr="00285F7D" w:rsidRDefault="003D3FD7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D7" w:rsidRPr="00285F7D" w:rsidRDefault="003D3FD7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B6523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5164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416E"/>
    <w:rsid w:val="002F6840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405A"/>
    <w:rsid w:val="0066565B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067"/>
    <w:rsid w:val="00783963"/>
    <w:rsid w:val="00784AD2"/>
    <w:rsid w:val="00790DA3"/>
    <w:rsid w:val="007922F3"/>
    <w:rsid w:val="00792FA8"/>
    <w:rsid w:val="00796A71"/>
    <w:rsid w:val="007A3642"/>
    <w:rsid w:val="007A7580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254E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9F7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3397"/>
    <w:rsid w:val="00C137B8"/>
    <w:rsid w:val="00C13E26"/>
    <w:rsid w:val="00C1653E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6CF8"/>
    <w:rsid w:val="00CC27E4"/>
    <w:rsid w:val="00CC2D65"/>
    <w:rsid w:val="00CC4AA2"/>
    <w:rsid w:val="00CC5A1E"/>
    <w:rsid w:val="00CC5ED7"/>
    <w:rsid w:val="00CC6931"/>
    <w:rsid w:val="00CD33FC"/>
    <w:rsid w:val="00CD495A"/>
    <w:rsid w:val="00CD4F74"/>
    <w:rsid w:val="00CD5C7C"/>
    <w:rsid w:val="00CD63D7"/>
    <w:rsid w:val="00CD727D"/>
    <w:rsid w:val="00CD7968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3C37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5FE3"/>
    <w:rsid w:val="00EF6A0F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4F45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A5164"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Office_Excel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B2A3-53BC-4229-8075-C4868E1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6274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egorovas</cp:lastModifiedBy>
  <cp:revision>6</cp:revision>
  <cp:lastPrinted>2019-12-30T09:00:00Z</cp:lastPrinted>
  <dcterms:created xsi:type="dcterms:W3CDTF">2019-12-30T08:56:00Z</dcterms:created>
  <dcterms:modified xsi:type="dcterms:W3CDTF">2019-12-31T05:46:00Z</dcterms:modified>
</cp:coreProperties>
</file>